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2" w:rsidRPr="00D31E2B" w:rsidRDefault="00865B52" w:rsidP="00865B52">
      <w:pPr>
        <w:numPr>
          <w:ilvl w:val="1"/>
          <w:numId w:val="0"/>
        </w:numPr>
        <w:spacing w:after="16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D31E2B">
        <w:rPr>
          <w:rFonts w:eastAsiaTheme="minorEastAsia"/>
          <w:noProof/>
          <w:color w:val="5A5A5A" w:themeColor="text1" w:themeTint="A5"/>
          <w:spacing w:val="15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4BD4007" wp14:editId="3B4E0437">
            <wp:simplePos x="0" y="0"/>
            <wp:positionH relativeFrom="column">
              <wp:posOffset>-270510</wp:posOffset>
            </wp:positionH>
            <wp:positionV relativeFrom="paragraph">
              <wp:posOffset>289560</wp:posOffset>
            </wp:positionV>
            <wp:extent cx="1332865" cy="1428115"/>
            <wp:effectExtent l="0" t="0" r="635" b="635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E2B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48A3F" wp14:editId="38386BAD">
                <wp:simplePos x="0" y="0"/>
                <wp:positionH relativeFrom="margin">
                  <wp:posOffset>-441325</wp:posOffset>
                </wp:positionH>
                <wp:positionV relativeFrom="paragraph">
                  <wp:posOffset>-396240</wp:posOffset>
                </wp:positionV>
                <wp:extent cx="6572250" cy="10117455"/>
                <wp:effectExtent l="0" t="0" r="19050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01174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354F" id="Прямоугольник 10" o:spid="_x0000_s1026" style="position:absolute;margin-left:-34.75pt;margin-top:-31.2pt;width:517.5pt;height:79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qbngIAABEFAAAOAAAAZHJzL2Uyb0RvYy54bWysVM2O0zAQviPxDpbv3SQl7XajTVerpkVI&#10;C6y08ABu7DQWjh1st+mCkJC4IvEIPAQXxM8+Q/pGjJ22tOwFIXxw7Hg8830z3/j8Yl0JtGLacCVT&#10;HJ2EGDGZK8rlIsUvX8x6I4yMJZISoSRL8S0z+GL88MF5Uyesr0olKNMInEiTNHWKS2vrJAhMXrKK&#10;mBNVMwmHhdIVsbDVi4Bq0oD3SgT9MBwGjdK01ipnxsDfrDvEY++/KFhunxeFYRaJFAM262ft57mb&#10;g/E5SRaa1CXPtzDIP6CoCJcQdO8qI5agpeb3XFU818qowp7kqgpUUfCceQ7AJgr/YHNTkpp5LpAc&#10;U+/TZP6f2/zZ6lojTqF2kB5JKqhR+3nzfvOp/dHebT60X9q79vvmY/uz/dp+Q2AEGWtqk8DFm/pa&#10;O86mvlL5K4OkmpRELtil1qopGaGAM3L2wdEFtzFwFc2bp4pCPLK0yidvXejKOYS0oLWv0e2+Rmxt&#10;UQ4/h4PTfn8AWHM4i8IoOo0HAx+EJLv7tTb2MVMVcosUa1CB909WV8Y6PCTZmbhwUs24EF4JQqIm&#10;xX0YA3/DKMGpO/U89WI+ERqtiBOTH9vAR2YVtyBpwasUj/ZGJHEJmUrqw1jCRbcGKEI658APwG1X&#10;nXTenoVn09F0FPfi/nDai8Ms613OJnFvOItOB9mjbDLJoncOZxQnJaeUSQd1J+Mo/juZbBuqE+Be&#10;yEeUzCHzmR/3mQfHMHyagdXu69l5JbjidyKaK3oLQtCq60t4R2BRKv0GowZ6MsXm9ZJohpF4IkFM&#10;Z1Ecuyb2mxiEABt9eDI/PCEyB1cpthh1y4ntGn9Za74oIVLkayzVJQiw4F4ZTpwdqq1soe88g+0b&#10;4Rr7cO+tfr9k418AAAD//wMAUEsDBBQABgAIAAAAIQD7Z7tr4QAAAAwBAAAPAAAAZHJzL2Rvd25y&#10;ZXYueG1sTI9NS8NAEIbvgv9hGcFbu2lrgonZFFGLIL1YC8XbJjtNgtnZkN2m6b93etLbfDy880y+&#10;nmwnRhx860jBYh6BQKqcaalWsP/azB5B+KDJ6M4RKrigh3Vxe5PrzLgzfeK4C7XgEPKZVtCE0GdS&#10;+qpBq/3c9Ui8O7rB6sDtUEsz6DOH204uoyiRVrfEFxrd40uD1c/uZBXEVflRW//2erRbs9hcvt/H&#10;7rBS6v5uen4CEXAKfzBc9VkdCnYq3YmMF52CWZLGjF6L5QMIJtIk5knJaLyKUpBFLv8/UfwCAAD/&#10;/wMAUEsBAi0AFAAGAAgAAAAhALaDOJL+AAAA4QEAABMAAAAAAAAAAAAAAAAAAAAAAFtDb250ZW50&#10;X1R5cGVzXS54bWxQSwECLQAUAAYACAAAACEAOP0h/9YAAACUAQAACwAAAAAAAAAAAAAAAAAvAQAA&#10;X3JlbHMvLnJlbHNQSwECLQAUAAYACAAAACEAXWwam54CAAARBQAADgAAAAAAAAAAAAAAAAAuAgAA&#10;ZHJzL2Uyb0RvYy54bWxQSwECLQAUAAYACAAAACEA+2e7a+EAAAAMAQAADwAAAAAAAAAAAAAAAAD4&#10;BAAAZHJzL2Rvd25yZXYueG1sUEsFBgAAAAAEAAQA8wAAAAYGAAAAAA==&#10;" filled="f" strokeweight="1.75pt">
                <w10:wrap anchorx="margin"/>
              </v:rect>
            </w:pict>
          </mc:Fallback>
        </mc:AlternateContent>
      </w:r>
      <w:r w:rsidRPr="00D31E2B">
        <w:rPr>
          <w:rFonts w:ascii="Arial" w:eastAsiaTheme="minorEastAsia" w:hAnsi="Arial" w:cs="Arial"/>
          <w:b/>
          <w:sz w:val="28"/>
          <w:szCs w:val="28"/>
          <w:lang w:eastAsia="ru-RU"/>
        </w:rPr>
        <w:t>Міністерство  розвитку економіки, торгівлі та сільського господарства України</w:t>
      </w:r>
    </w:p>
    <w:p w:rsidR="00865B52" w:rsidRPr="00D31E2B" w:rsidRDefault="00865B52" w:rsidP="00865B5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b/>
          <w:sz w:val="28"/>
          <w:szCs w:val="28"/>
          <w:lang w:eastAsia="ru-RU"/>
        </w:rPr>
        <w:t>Державне підприємство</w:t>
      </w:r>
    </w:p>
    <w:p w:rsidR="00865B52" w:rsidRPr="00D31E2B" w:rsidRDefault="00865B52" w:rsidP="00865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b/>
          <w:sz w:val="28"/>
          <w:szCs w:val="28"/>
          <w:lang w:eastAsia="ru-RU"/>
        </w:rPr>
        <w:t>«Черкаський державний науково-дослідний інститут техніко-економічної інформації в хімічній промисловості»</w:t>
      </w:r>
    </w:p>
    <w:p w:rsidR="00865B52" w:rsidRPr="00D31E2B" w:rsidRDefault="00865B52" w:rsidP="00865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b/>
          <w:sz w:val="28"/>
          <w:szCs w:val="28"/>
          <w:lang w:eastAsia="ru-RU"/>
        </w:rPr>
        <w:t>(ДП «Черкаський НДІТЕХІМ»)</w:t>
      </w:r>
    </w:p>
    <w:p w:rsidR="00865B52" w:rsidRPr="00D31E2B" w:rsidRDefault="00865B52" w:rsidP="00865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865B52" w:rsidRPr="00D31E2B" w:rsidTr="009E6DB3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B52" w:rsidRPr="00D31E2B" w:rsidRDefault="00865B52" w:rsidP="009E6DB3">
            <w:pPr>
              <w:spacing w:before="120" w:after="0" w:line="240" w:lineRule="auto"/>
              <w:ind w:firstLine="720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D31E2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18000, </w:t>
            </w:r>
            <w:r w:rsidRPr="00D31E2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ГСП</w:t>
            </w:r>
            <w:r w:rsidRPr="00D31E2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м. Черкаси, бульвар Шевченка, 205</w:t>
            </w:r>
          </w:p>
        </w:tc>
      </w:tr>
    </w:tbl>
    <w:p w:rsidR="00865B52" w:rsidRPr="00D31E2B" w:rsidRDefault="00865B52" w:rsidP="00865B52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4536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Практичний аналіз нормативно-правової бази у сфері впровадження в Україні  моніторингу, звітування та верифікації парникових газів на промислових підприємствах</w:t>
      </w:r>
    </w:p>
    <w:p w:rsidR="00865B52" w:rsidRPr="00D31E2B" w:rsidRDefault="00865B52" w:rsidP="00865B52">
      <w:pPr>
        <w:spacing w:before="120" w:after="80" w:line="240" w:lineRule="auto"/>
        <w:ind w:left="4536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4536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Експрес-практикум</w:t>
      </w:r>
    </w:p>
    <w:p w:rsidR="00865B52" w:rsidRPr="00D31E2B" w:rsidRDefault="00865B52" w:rsidP="00865B52">
      <w:pPr>
        <w:spacing w:before="120" w:after="80" w:line="240" w:lineRule="auto"/>
        <w:ind w:left="453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453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453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65B52" w:rsidRPr="00D31E2B" w:rsidRDefault="00865B52" w:rsidP="00865B52">
      <w:pPr>
        <w:spacing w:before="120" w:after="80" w:line="240" w:lineRule="auto"/>
        <w:ind w:left="396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Розробник: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1E2B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Т.В. </w:t>
      </w:r>
      <w:proofErr w:type="spellStart"/>
      <w:r w:rsidRPr="00D31E2B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Ковеня</w:t>
      </w:r>
      <w:proofErr w:type="spellEnd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, директор ДП «Черкаський НДІТЕХІМ»</w:t>
      </w: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Тел</w:t>
      </w:r>
      <w:proofErr w:type="spellEnd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./факс: 8(0472) 36-03-26</w:t>
      </w: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E-</w:t>
      </w:r>
      <w:proofErr w:type="spellStart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mail</w:t>
      </w:r>
      <w:proofErr w:type="spellEnd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: </w:t>
      </w:r>
      <w:hyperlink r:id="rId5" w:history="1">
        <w:r w:rsidRPr="00D31E2B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eastAsia="ru-RU"/>
          </w:rPr>
          <w:t>niitehim-office@uch.net</w:t>
        </w:r>
      </w:hyperlink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>WebSite</w:t>
      </w:r>
      <w:proofErr w:type="spellEnd"/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: </w:t>
      </w:r>
      <w:hyperlink r:id="rId6" w:history="1">
        <w:r w:rsidRPr="00D31E2B">
          <w:rPr>
            <w:rFonts w:ascii="Arial" w:eastAsiaTheme="majorEastAsia" w:hAnsi="Arial" w:cs="Arial"/>
            <w:i/>
            <w:color w:val="0563C1" w:themeColor="hyperlink"/>
            <w:sz w:val="28"/>
            <w:szCs w:val="28"/>
            <w:u w:val="single"/>
            <w:lang w:eastAsia="ru-RU"/>
          </w:rPr>
          <w:t>http://nditekhim.com.ua</w:t>
        </w:r>
      </w:hyperlink>
      <w:r w:rsidRPr="00D31E2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Default="00865B52" w:rsidP="00865B52">
      <w:pPr>
        <w:spacing w:after="0" w:line="240" w:lineRule="auto"/>
        <w:ind w:left="39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865B52" w:rsidRPr="00D31E2B" w:rsidRDefault="00865B52" w:rsidP="00865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65B52" w:rsidRPr="00D31E2B" w:rsidRDefault="00865B52" w:rsidP="00865B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1E2B">
        <w:rPr>
          <w:rFonts w:ascii="Arial" w:eastAsia="Times New Roman" w:hAnsi="Arial" w:cs="Arial"/>
          <w:b/>
          <w:sz w:val="28"/>
          <w:szCs w:val="28"/>
          <w:lang w:eastAsia="ru-RU"/>
        </w:rPr>
        <w:t>Черкаси</w:t>
      </w:r>
    </w:p>
    <w:p w:rsidR="00865B52" w:rsidRDefault="00865B52" w:rsidP="00865B52">
      <w:pPr>
        <w:spacing w:before="120"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31E2B">
        <w:rPr>
          <w:rFonts w:ascii="Arial" w:hAnsi="Arial" w:cs="Arial"/>
          <w:b/>
          <w:sz w:val="28"/>
          <w:szCs w:val="28"/>
        </w:rPr>
        <w:t>2021</w:t>
      </w:r>
    </w:p>
    <w:p w:rsidR="00865B52" w:rsidRDefault="00865B52" w:rsidP="00865B52">
      <w:pPr>
        <w:spacing w:before="120" w:after="8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5B52" w:rsidRDefault="00865B52" w:rsidP="00865B52">
      <w:pPr>
        <w:spacing w:before="120" w:after="8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65B52" w:rsidRPr="006D0C2C" w:rsidRDefault="00865B52" w:rsidP="00865B52">
      <w:pPr>
        <w:spacing w:before="120" w:after="8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bookmarkStart w:id="1" w:name="_Toc67157293"/>
      <w:bookmarkStart w:id="2" w:name="_Toc67157450"/>
      <w:r w:rsidRPr="006D0C2C">
        <w:rPr>
          <w:rFonts w:ascii="Arial" w:hAnsi="Arial" w:cs="Arial"/>
          <w:b/>
          <w:sz w:val="23"/>
          <w:szCs w:val="23"/>
        </w:rPr>
        <w:lastRenderedPageBreak/>
        <w:t>ЗМІСТ</w:t>
      </w:r>
      <w:bookmarkEnd w:id="1"/>
      <w:bookmarkEnd w:id="2"/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r w:rsidRPr="006D0C2C">
        <w:rPr>
          <w:rFonts w:ascii="Arial" w:hAnsi="Arial" w:cs="Arial"/>
          <w:b/>
          <w:sz w:val="23"/>
          <w:szCs w:val="23"/>
        </w:rPr>
        <w:fldChar w:fldCharType="begin"/>
      </w:r>
      <w:r w:rsidRPr="006D0C2C">
        <w:rPr>
          <w:rFonts w:ascii="Arial" w:hAnsi="Arial" w:cs="Arial"/>
          <w:b/>
          <w:sz w:val="23"/>
          <w:szCs w:val="23"/>
        </w:rPr>
        <w:instrText xml:space="preserve"> TOC \o "1-4" \h \z \u </w:instrText>
      </w:r>
      <w:r w:rsidRPr="006D0C2C">
        <w:rPr>
          <w:rFonts w:ascii="Arial" w:hAnsi="Arial" w:cs="Arial"/>
          <w:b/>
          <w:sz w:val="23"/>
          <w:szCs w:val="23"/>
        </w:rPr>
        <w:fldChar w:fldCharType="separate"/>
      </w:r>
      <w:hyperlink w:anchor="_Toc67157451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  <w:lang w:val="ru-RU"/>
          </w:rPr>
          <w:t>1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. Вступ.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_Toc67157451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3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2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  <w:lang w:val="ru-RU"/>
          </w:rPr>
          <w:t>2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. Нормативні документи ЄС, які імплементуються в Україні в рамках впровадження системи МЗВ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_Toc67157452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3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3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  <w:lang w:val="ru-RU"/>
          </w:rPr>
          <w:t>3.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Сфера дії ЗУ «Про засади моніторингу, звітності та верифікації викидів парникових газів»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_Toc67157453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4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4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  <w:lang w:val="ru-RU"/>
          </w:rPr>
          <w:t xml:space="preserve">4. 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Суб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  <w:lang w:val="ru-RU"/>
          </w:rPr>
          <w:t>’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єкти державного управління впровадження  системи МЗВ в Україні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_Toc67157454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5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5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5. Види діяльності, які попадають під дію система моніторингу, звітності та верифікації викидів парникових газів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_Toc67157455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6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6" w:history="1"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>6. Установки, які попадають під  дію система моніторингу, звітності та верифікації викидів парникових газів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_Toc67157456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6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7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7. Нормативно-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 xml:space="preserve"> </w:t>
        </w:r>
        <w:r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 xml:space="preserve">правові акти, які регулюють </w:t>
        </w:r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порядок ведення Єдиного реєстру.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_Toc67157457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7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8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8. Нормативно-правові акти, які унормовують процедуру реєстрацію установок  в Єдиному реєстрі.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_Toc67157458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8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59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9. Методичні рекомендації з оцінки викидів ПГ за видами діяльності установок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_Toc67157459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9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0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 Основні положення нормативно-правових актів, які регулюють організацію та проведення моніторингу і звітність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 xml:space="preserve"> </w:t>
        </w:r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щодо викидів парникових газів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_Toc67157460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10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1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10.1. Загальні положення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_Toc67157461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10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2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10.2. Стандартний та спрощений план моніторингу викидів ПГ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_Toc67157462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12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3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10.3. Категоризація установок, матеріальних потоків та джерел викидів парникових газів і визначення межі моніторингу.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_Toc67157463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13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4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10.4. Загальні засади застосування методики моніторингу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_Toc67157464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15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5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10.5. Методика на основі розрахунків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_Toc67157465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15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6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10.6. Методика на основі неперервних вимірювань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_Toc67157466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16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7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10.7. Особливості застосування оператором спрощеного плану моніторингу.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_Toc67157467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16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8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10.8. Компонентний CO2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_Toc67157468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17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69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10.11. Обробка даних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_Toc67157469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17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0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10.12. Система контролю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_Toc67157470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18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1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10.13.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 xml:space="preserve"> </w:t>
        </w:r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Вимоги до звітності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_Toc67157471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18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2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11. Верифікація викидів ПГ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_Toc67157472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19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3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11.1. Загальні положення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_Toc67157473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19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4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11.2. Етапи проведення верифікації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_Toc67157474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20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2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5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11.3. Вимоги до верифікатора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 xml:space="preserve"> </w:t>
        </w:r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та  акредитації верифікатора.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_Toc67157475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23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6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12. Приклади планів моніторингу (ПМ), звітів про викиди парникових газів, інших документів, які розроблені для виробництва аміаку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_Toc67157476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25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Fonts w:ascii="Arial" w:eastAsiaTheme="minorEastAsia" w:hAnsi="Arial" w:cs="Arial"/>
          <w:b/>
          <w:noProof/>
          <w:sz w:val="23"/>
          <w:szCs w:val="23"/>
          <w:lang w:val="ru-RU" w:eastAsia="ru-RU"/>
        </w:rPr>
      </w:pPr>
      <w:hyperlink w:anchor="_Toc67157477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13.</w:t>
        </w:r>
        <w:r w:rsidRPr="006D0C2C">
          <w:rPr>
            <w:rStyle w:val="a3"/>
            <w:rFonts w:ascii="Arial" w:hAnsi="Arial" w:cs="Arial"/>
            <w:b/>
            <w:noProof/>
            <w:sz w:val="23"/>
            <w:szCs w:val="23"/>
          </w:rPr>
          <w:t xml:space="preserve"> </w:t>
        </w:r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Відповідальність за порушення вимог законодавства у сфері моніторингу, звітності та верифікації викидів парникових газів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_Toc67157477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26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865B52" w:rsidRPr="006D0C2C" w:rsidRDefault="00865B52" w:rsidP="00865B52">
      <w:pPr>
        <w:pStyle w:val="1"/>
        <w:tabs>
          <w:tab w:val="right" w:leader="dot" w:pos="9345"/>
        </w:tabs>
        <w:rPr>
          <w:rStyle w:val="a3"/>
          <w:rFonts w:ascii="Arial" w:hAnsi="Arial" w:cs="Arial"/>
          <w:b/>
          <w:noProof/>
          <w:sz w:val="23"/>
          <w:szCs w:val="23"/>
        </w:rPr>
      </w:pPr>
      <w:hyperlink w:anchor="_Toc67157478" w:history="1">
        <w:r w:rsidRPr="006D0C2C">
          <w:rPr>
            <w:rStyle w:val="a3"/>
            <w:rFonts w:ascii="Arial" w:eastAsia="Times New Roman" w:hAnsi="Arial" w:cs="Arial"/>
            <w:b/>
            <w:noProof/>
            <w:sz w:val="23"/>
            <w:szCs w:val="23"/>
            <w:lang w:eastAsia="ru-RU"/>
          </w:rPr>
          <w:t>14. Основні дії операторів ринку  щодо виконання вимог системи МЗВ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ab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begin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instrText xml:space="preserve"> PAGEREF _Toc67157478 \h </w:instrTex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separate"/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t>27</w:t>
        </w:r>
        <w:r w:rsidRPr="006D0C2C">
          <w:rPr>
            <w:rFonts w:ascii="Arial" w:hAnsi="Arial" w:cs="Arial"/>
            <w:b/>
            <w:noProof/>
            <w:webHidden/>
            <w:sz w:val="23"/>
            <w:szCs w:val="23"/>
          </w:rPr>
          <w:fldChar w:fldCharType="end"/>
        </w:r>
      </w:hyperlink>
    </w:p>
    <w:p w:rsidR="00F94F14" w:rsidRDefault="00865B52" w:rsidP="00865B52">
      <w:r w:rsidRPr="006D0C2C">
        <w:rPr>
          <w:rFonts w:ascii="Arial" w:hAnsi="Arial" w:cs="Arial"/>
          <w:b/>
          <w:sz w:val="23"/>
          <w:szCs w:val="23"/>
        </w:rPr>
        <w:fldChar w:fldCharType="end"/>
      </w:r>
    </w:p>
    <w:sectPr w:rsidR="00F9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2"/>
    <w:rsid w:val="00865B52"/>
    <w:rsid w:val="009175A8"/>
    <w:rsid w:val="009A6026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F653-52EF-44F2-9365-923169ED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5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B52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65B5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65B5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itekhim.com.ua" TargetMode="External"/><Relationship Id="rId5" Type="http://schemas.openxmlformats.org/officeDocument/2006/relationships/hyperlink" Target="mailto:niitehim-office@uc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2021-04-11T10:51:00Z</dcterms:created>
  <dcterms:modified xsi:type="dcterms:W3CDTF">2021-04-11T10:53:00Z</dcterms:modified>
</cp:coreProperties>
</file>